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48A" w:rsidRDefault="001C248A" w:rsidP="00C66BB2"/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E03D7A">
        <w:rPr>
          <w:sz w:val="20"/>
          <w:szCs w:val="20"/>
        </w:rPr>
        <w:t>z 202</w:t>
      </w:r>
      <w:r w:rsidR="001F6725">
        <w:rPr>
          <w:sz w:val="20"/>
          <w:szCs w:val="20"/>
        </w:rPr>
        <w:t>4</w:t>
      </w:r>
      <w:r w:rsidR="009B5D3B">
        <w:rPr>
          <w:sz w:val="20"/>
          <w:szCs w:val="20"/>
        </w:rPr>
        <w:t>r. poz.</w:t>
      </w:r>
      <w:r w:rsidR="001F6725">
        <w:rPr>
          <w:sz w:val="20"/>
          <w:szCs w:val="20"/>
        </w:rPr>
        <w:t>475</w:t>
      </w:r>
      <w:r w:rsidR="00E03D7A">
        <w:rPr>
          <w:sz w:val="20"/>
          <w:szCs w:val="20"/>
        </w:rPr>
        <w:t xml:space="preserve"> z </w:t>
      </w:r>
      <w:proofErr w:type="spellStart"/>
      <w:r w:rsidR="00E03D7A">
        <w:rPr>
          <w:sz w:val="20"/>
          <w:szCs w:val="20"/>
        </w:rPr>
        <w:t>póź</w:t>
      </w:r>
      <w:proofErr w:type="spellEnd"/>
      <w:r w:rsidR="00E03D7A">
        <w:rPr>
          <w:sz w:val="20"/>
          <w:szCs w:val="20"/>
        </w:rPr>
        <w:t xml:space="preserve"> zm</w:t>
      </w:r>
      <w:r w:rsidR="00C1639D" w:rsidRPr="00C1639D">
        <w:rPr>
          <w:sz w:val="20"/>
          <w:szCs w:val="20"/>
        </w:rPr>
        <w:t>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F6598F">
        <w:rPr>
          <w:rFonts w:eastAsia="Calibri"/>
          <w:sz w:val="20"/>
          <w:szCs w:val="20"/>
        </w:rPr>
        <w:t xml:space="preserve"> </w:t>
      </w:r>
      <w:r w:rsidR="00C1639D">
        <w:rPr>
          <w:rFonts w:eastAsia="Calibri"/>
          <w:sz w:val="20"/>
          <w:szCs w:val="20"/>
        </w:rPr>
        <w:t xml:space="preserve">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 xml:space="preserve">Fax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r w:rsidR="000716EC" w:rsidRPr="00C135C2">
        <w:rPr>
          <w:rFonts w:eastAsia="Calibri"/>
        </w:rPr>
        <w:t>www</w:t>
      </w:r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E03D7A">
        <w:rPr>
          <w:rFonts w:eastAsia="Calibri"/>
        </w:rPr>
        <w:t>2023</w:t>
      </w:r>
      <w:r w:rsidR="00DF74A6">
        <w:rPr>
          <w:rFonts w:eastAsia="Calibri"/>
        </w:rPr>
        <w:t xml:space="preserve"> 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 xml:space="preserve">poz. </w:t>
      </w:r>
      <w:r w:rsidR="00E03D7A">
        <w:rPr>
          <w:rFonts w:eastAsia="Calibri"/>
        </w:rPr>
        <w:t>221</w:t>
      </w:r>
      <w:r w:rsidR="00CD2F1A">
        <w:rPr>
          <w:rFonts w:eastAsia="Calibri"/>
        </w:rPr>
        <w:t>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</w:t>
      </w:r>
      <w:r w:rsidR="00E03D7A">
        <w:rPr>
          <w:rFonts w:eastAsia="Times New Roman"/>
        </w:rPr>
        <w:t>24</w:t>
      </w:r>
      <w:r w:rsidR="007E388C" w:rsidRPr="007E388C">
        <w:rPr>
          <w:rFonts w:eastAsia="Times New Roman"/>
        </w:rPr>
        <w:t xml:space="preserve">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 xml:space="preserve">a) </w:t>
      </w:r>
      <w:r w:rsidR="00F6598F">
        <w:rPr>
          <w:rFonts w:eastAsia="Times New Roman"/>
        </w:rPr>
        <w:t>korzystał</w:t>
      </w:r>
      <w:r w:rsidRPr="007E388C">
        <w:rPr>
          <w:rFonts w:eastAsia="Times New Roman"/>
        </w:rPr>
        <w:t xml:space="preserve">                     </w:t>
      </w:r>
      <w:r w:rsidR="00F6598F">
        <w:rPr>
          <w:rFonts w:eastAsia="Times New Roman"/>
        </w:rPr>
        <w:t xml:space="preserve">                     </w:t>
      </w:r>
      <w:r w:rsidRPr="007E388C">
        <w:rPr>
          <w:rFonts w:eastAsia="Times New Roman"/>
        </w:rPr>
        <w:t xml:space="preserve">     b) nie korzystał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</w:t>
      </w:r>
      <w:r w:rsidR="00E03D7A">
        <w:rPr>
          <w:rFonts w:asciiTheme="majorHAnsi" w:hAnsiTheme="majorHAnsi"/>
          <w:b/>
        </w:rPr>
        <w:t>24</w:t>
      </w:r>
      <w:r w:rsidRPr="00302922">
        <w:rPr>
          <w:rFonts w:asciiTheme="majorHAnsi" w:hAnsiTheme="majorHAnsi"/>
          <w:b/>
        </w:rPr>
        <w:t xml:space="preserve">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</w:t>
      </w:r>
      <w:r w:rsidR="00E03D7A">
        <w:rPr>
          <w:rFonts w:asciiTheme="majorHAnsi" w:hAnsiTheme="majorHAnsi"/>
          <w:b/>
        </w:rPr>
        <w:t>24</w:t>
      </w:r>
      <w:r w:rsidRPr="00302922">
        <w:rPr>
          <w:rFonts w:asciiTheme="majorHAnsi" w:hAnsiTheme="majorHAnsi"/>
          <w:b/>
        </w:rPr>
        <w:t xml:space="preserve">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</w:t>
      </w:r>
      <w:r w:rsidRPr="00D0398B">
        <w:rPr>
          <w:rFonts w:asciiTheme="majorHAnsi" w:hAnsiTheme="majorHAnsi"/>
          <w:b/>
          <w:u w:val="single"/>
        </w:rPr>
        <w:t xml:space="preserve">(dotyczy wyłącznie osób fizycznych </w:t>
      </w:r>
      <w:r w:rsidR="00DF3CDC" w:rsidRPr="00D0398B">
        <w:rPr>
          <w:rFonts w:asciiTheme="majorHAnsi" w:hAnsiTheme="majorHAnsi"/>
          <w:b/>
          <w:u w:val="single"/>
        </w:rPr>
        <w:t xml:space="preserve"> prowadzących działalność gospodarczą </w:t>
      </w:r>
      <w:r w:rsidRPr="00D0398B">
        <w:rPr>
          <w:rFonts w:asciiTheme="majorHAnsi" w:hAnsiTheme="majorHAnsi"/>
          <w:b/>
          <w:u w:val="single"/>
        </w:rPr>
        <w:t>zgodnie z  ustawą z dnia 6 marca 2018 Pr</w:t>
      </w:r>
      <w:r w:rsidR="00DF74A6">
        <w:rPr>
          <w:rFonts w:asciiTheme="majorHAnsi" w:hAnsiTheme="majorHAnsi"/>
          <w:b/>
          <w:u w:val="single"/>
        </w:rPr>
        <w:t>a</w:t>
      </w:r>
      <w:r w:rsidR="00C96EA7">
        <w:rPr>
          <w:rFonts w:asciiTheme="majorHAnsi" w:hAnsiTheme="majorHAnsi"/>
          <w:b/>
          <w:u w:val="single"/>
        </w:rPr>
        <w:t>wo Przedsiębiorców (Dz.U. z 2024</w:t>
      </w:r>
      <w:r w:rsidRPr="00D0398B">
        <w:rPr>
          <w:rFonts w:asciiTheme="majorHAnsi" w:hAnsiTheme="majorHAnsi"/>
          <w:b/>
          <w:u w:val="single"/>
        </w:rPr>
        <w:t xml:space="preserve">r. poz. </w:t>
      </w:r>
      <w:r w:rsidR="00885E68">
        <w:rPr>
          <w:rFonts w:asciiTheme="majorHAnsi" w:hAnsiTheme="majorHAnsi"/>
          <w:b/>
          <w:u w:val="single"/>
        </w:rPr>
        <w:t>2</w:t>
      </w:r>
      <w:r w:rsidR="00C96EA7">
        <w:rPr>
          <w:rFonts w:asciiTheme="majorHAnsi" w:hAnsiTheme="majorHAnsi"/>
          <w:b/>
          <w:u w:val="single"/>
        </w:rPr>
        <w:t>36</w:t>
      </w:r>
      <w:r w:rsidR="007E23DC">
        <w:rPr>
          <w:rFonts w:asciiTheme="majorHAnsi" w:hAnsiTheme="majorHAnsi"/>
          <w:b/>
          <w:u w:val="single"/>
        </w:rPr>
        <w:t>)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 xml:space="preserve">- </w:t>
      </w:r>
      <w:r w:rsidR="00FC135E">
        <w:t>Z Inspektorem Ochrony Danych możesz skontaktować się w sprawach ochrony swoich danych pod adresem</w:t>
      </w:r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  <w:r w:rsidR="00FC135E">
        <w:rPr>
          <w:color w:val="000000" w:themeColor="text1"/>
        </w:rPr>
        <w:t>, pod numerem telefonu 91 321 97 77 lub pisemnie na adres naszej siedziby, wskazany w pkt 1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>- Podstawą przetwarzania moich danych osobowych jest ustawa z dnia 20 kwietnia 2004r.                         o promocji zatrudnienia i instytucjach ryn</w:t>
      </w:r>
      <w:r w:rsidR="00494A75">
        <w:t>k</w:t>
      </w:r>
      <w:r w:rsidR="00E03D7A">
        <w:t>u pracy (tekst jedn. Dz.U z 202</w:t>
      </w:r>
      <w:r w:rsidR="00885E68">
        <w:t>4</w:t>
      </w:r>
      <w:r w:rsidR="00E03D7A">
        <w:t xml:space="preserve"> </w:t>
      </w:r>
      <w:r>
        <w:t xml:space="preserve">r., poz. </w:t>
      </w:r>
      <w:r w:rsidR="00885E68">
        <w:t>47</w:t>
      </w:r>
      <w:r w:rsidR="00E03D7A">
        <w:t>5</w:t>
      </w:r>
      <w:r>
        <w:t>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pkt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>- W związku z przetwarzaniem moich danych osobowych w celach wskazanych w ustawie                  z dnia 20 kwietnia 2004r. o promocji zatrudnienia i instytucjach rynk</w:t>
      </w:r>
      <w:r w:rsidR="00E03D7A">
        <w:t>u pracy (tekst jedn. Dz.U z 2023</w:t>
      </w:r>
      <w:r>
        <w:t xml:space="preserve">r., poz. </w:t>
      </w:r>
      <w:r w:rsidR="00E03D7A">
        <w:t>735</w:t>
      </w:r>
      <w:r>
        <w:t xml:space="preserve">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>ustawie z dnia 20 kwietnia 2004r. o promocji zatrudnienia i instytucjach ryn</w:t>
      </w:r>
      <w:r w:rsidR="00F53DC4">
        <w:t>k</w:t>
      </w:r>
      <w:r w:rsidR="00885E68">
        <w:t>u pracy (tekst jedn. Dz.U z 2024</w:t>
      </w:r>
      <w:r w:rsidR="00E03D7A">
        <w:t xml:space="preserve"> </w:t>
      </w:r>
      <w:r>
        <w:t xml:space="preserve">r., poz. </w:t>
      </w:r>
      <w:r w:rsidR="00885E68">
        <w:t>475</w:t>
      </w:r>
      <w:r w:rsidR="00DF74A6">
        <w:t>)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 xml:space="preserve">. Jednocześnie informujemy, że usunięcie danych osobowych lub ograniczenie ich przetwarzania </w:t>
      </w:r>
      <w:r>
        <w:rPr>
          <w:rFonts w:eastAsia="Times New Roman"/>
        </w:rPr>
        <w:lastRenderedPageBreak/>
        <w:t>jest jednoznaczne z niemożliwością korzystania z form wsparcia zawartych w</w:t>
      </w:r>
      <w:r w:rsidRPr="00E32976">
        <w:t xml:space="preserve"> </w:t>
      </w:r>
      <w:r>
        <w:t xml:space="preserve">ustawie z dnia 20 kwietnia 2004r. o promocji zatrudnienia i instytucjach rynku pracy (tekst jedn. Dz.U z </w:t>
      </w:r>
      <w:r w:rsidR="00F53DC4">
        <w:t>202</w:t>
      </w:r>
      <w:r w:rsidR="00885E68">
        <w:t>4</w:t>
      </w:r>
      <w:r w:rsidR="00F53DC4">
        <w:t xml:space="preserve"> r. poz. </w:t>
      </w:r>
      <w:r w:rsidR="00885E68">
        <w:t>47</w:t>
      </w:r>
      <w:bookmarkStart w:id="0" w:name="_GoBack"/>
      <w:bookmarkEnd w:id="0"/>
      <w:r w:rsidR="00E03D7A">
        <w:t>5</w:t>
      </w:r>
      <w:r w:rsidR="00FA1A84">
        <w:t>)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mikroprzedsiębiorstw,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0398B">
        <w:rPr>
          <w:sz w:val="20"/>
          <w:szCs w:val="20"/>
        </w:rPr>
        <w:t>ałą</w:t>
      </w:r>
      <w:r w:rsidR="002D7BC3" w:rsidRPr="002D7BC3">
        <w:rPr>
          <w:sz w:val="20"/>
          <w:szCs w:val="20"/>
        </w:rPr>
        <w:t>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Który z priorytetów Ministra Rodziny, Pracy i Polityki Społecznej został spełniony lub Rady Rynku P</w:t>
            </w:r>
            <w:r w:rsidR="003B73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racy</w:t>
            </w:r>
            <w:r w:rsidR="00CD70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DF74A6" w:rsidRPr="00843607" w:rsidRDefault="00DF74A6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Numer priorytetu i oznaczenie (LIMIT bądź REZERWA)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9C" w:rsidRDefault="00DE0C9C">
      <w:r>
        <w:separator/>
      </w:r>
    </w:p>
  </w:endnote>
  <w:endnote w:type="continuationSeparator" w:id="0">
    <w:p w:rsidR="00DE0C9C" w:rsidRDefault="00DE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D1" w:rsidRDefault="00FC33D1" w:rsidP="00721B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9C" w:rsidRDefault="00DE0C9C">
      <w:r>
        <w:separator/>
      </w:r>
    </w:p>
  </w:footnote>
  <w:footnote w:type="continuationSeparator" w:id="0">
    <w:p w:rsidR="00DE0C9C" w:rsidRDefault="00DE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 w15:restartNumberingAfterBreak="0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20144"/>
    <w:rsid w:val="0002677E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950F3"/>
    <w:rsid w:val="000962BA"/>
    <w:rsid w:val="000A7746"/>
    <w:rsid w:val="000B0673"/>
    <w:rsid w:val="000B7E7B"/>
    <w:rsid w:val="000C0298"/>
    <w:rsid w:val="000D2306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75760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1F6725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75F6D"/>
    <w:rsid w:val="002B2137"/>
    <w:rsid w:val="002B5A31"/>
    <w:rsid w:val="002C2420"/>
    <w:rsid w:val="002D190D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6255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B73AA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58C8"/>
    <w:rsid w:val="00447EBF"/>
    <w:rsid w:val="00461A03"/>
    <w:rsid w:val="00463B03"/>
    <w:rsid w:val="004647E9"/>
    <w:rsid w:val="00465113"/>
    <w:rsid w:val="00472008"/>
    <w:rsid w:val="004776D4"/>
    <w:rsid w:val="00481F25"/>
    <w:rsid w:val="00490C8B"/>
    <w:rsid w:val="00494214"/>
    <w:rsid w:val="004945F4"/>
    <w:rsid w:val="00494A75"/>
    <w:rsid w:val="004963E6"/>
    <w:rsid w:val="004A7564"/>
    <w:rsid w:val="004B086B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D2705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20DC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227F5"/>
    <w:rsid w:val="0073132A"/>
    <w:rsid w:val="00734DCC"/>
    <w:rsid w:val="00741BD8"/>
    <w:rsid w:val="00745F96"/>
    <w:rsid w:val="0075391F"/>
    <w:rsid w:val="00763CC0"/>
    <w:rsid w:val="00780729"/>
    <w:rsid w:val="007855BE"/>
    <w:rsid w:val="007939B1"/>
    <w:rsid w:val="007A3AE6"/>
    <w:rsid w:val="007A4E2A"/>
    <w:rsid w:val="007B5C51"/>
    <w:rsid w:val="007D5A02"/>
    <w:rsid w:val="007D7826"/>
    <w:rsid w:val="007E23DC"/>
    <w:rsid w:val="007E388C"/>
    <w:rsid w:val="007F5992"/>
    <w:rsid w:val="007F7877"/>
    <w:rsid w:val="00801A57"/>
    <w:rsid w:val="008067FA"/>
    <w:rsid w:val="00811236"/>
    <w:rsid w:val="00813348"/>
    <w:rsid w:val="0082473A"/>
    <w:rsid w:val="00834BCC"/>
    <w:rsid w:val="00843607"/>
    <w:rsid w:val="0084574C"/>
    <w:rsid w:val="00845DC1"/>
    <w:rsid w:val="00854AFB"/>
    <w:rsid w:val="00862984"/>
    <w:rsid w:val="00865D03"/>
    <w:rsid w:val="00880060"/>
    <w:rsid w:val="0088398C"/>
    <w:rsid w:val="00885020"/>
    <w:rsid w:val="00885E68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6707E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22BD9"/>
    <w:rsid w:val="00B41CF8"/>
    <w:rsid w:val="00B4554D"/>
    <w:rsid w:val="00B54268"/>
    <w:rsid w:val="00B63865"/>
    <w:rsid w:val="00B738BB"/>
    <w:rsid w:val="00B746F1"/>
    <w:rsid w:val="00B7696D"/>
    <w:rsid w:val="00B77014"/>
    <w:rsid w:val="00B87069"/>
    <w:rsid w:val="00B97202"/>
    <w:rsid w:val="00BA158D"/>
    <w:rsid w:val="00BA1C0E"/>
    <w:rsid w:val="00BB0FEA"/>
    <w:rsid w:val="00BB6308"/>
    <w:rsid w:val="00BB6534"/>
    <w:rsid w:val="00BB7836"/>
    <w:rsid w:val="00BC765A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4E26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96EA7"/>
    <w:rsid w:val="00CA02D8"/>
    <w:rsid w:val="00CB0FE0"/>
    <w:rsid w:val="00CD182F"/>
    <w:rsid w:val="00CD2F1A"/>
    <w:rsid w:val="00CD3F06"/>
    <w:rsid w:val="00CD70EA"/>
    <w:rsid w:val="00CD7414"/>
    <w:rsid w:val="00CE1BBC"/>
    <w:rsid w:val="00CE5100"/>
    <w:rsid w:val="00CE7F4C"/>
    <w:rsid w:val="00CF047F"/>
    <w:rsid w:val="00D00E84"/>
    <w:rsid w:val="00D0134D"/>
    <w:rsid w:val="00D0185B"/>
    <w:rsid w:val="00D0398B"/>
    <w:rsid w:val="00D03B43"/>
    <w:rsid w:val="00D04077"/>
    <w:rsid w:val="00D21D3F"/>
    <w:rsid w:val="00D232B5"/>
    <w:rsid w:val="00D24BB1"/>
    <w:rsid w:val="00D32F69"/>
    <w:rsid w:val="00D43F55"/>
    <w:rsid w:val="00D60E8A"/>
    <w:rsid w:val="00D834CD"/>
    <w:rsid w:val="00D8473D"/>
    <w:rsid w:val="00D906F2"/>
    <w:rsid w:val="00D90A90"/>
    <w:rsid w:val="00D91CC8"/>
    <w:rsid w:val="00DD0DB3"/>
    <w:rsid w:val="00DE0C9C"/>
    <w:rsid w:val="00DF330E"/>
    <w:rsid w:val="00DF3CDC"/>
    <w:rsid w:val="00DF5E12"/>
    <w:rsid w:val="00DF6209"/>
    <w:rsid w:val="00DF6452"/>
    <w:rsid w:val="00DF74A6"/>
    <w:rsid w:val="00E036F1"/>
    <w:rsid w:val="00E03D7A"/>
    <w:rsid w:val="00E079CD"/>
    <w:rsid w:val="00E151D4"/>
    <w:rsid w:val="00E167D9"/>
    <w:rsid w:val="00E327A8"/>
    <w:rsid w:val="00E32864"/>
    <w:rsid w:val="00E33EB5"/>
    <w:rsid w:val="00E53AC1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177A2"/>
    <w:rsid w:val="00F2406A"/>
    <w:rsid w:val="00F33379"/>
    <w:rsid w:val="00F53DC4"/>
    <w:rsid w:val="00F566F5"/>
    <w:rsid w:val="00F6376F"/>
    <w:rsid w:val="00F6598F"/>
    <w:rsid w:val="00F67BB3"/>
    <w:rsid w:val="00F72356"/>
    <w:rsid w:val="00F75EB8"/>
    <w:rsid w:val="00F83D7D"/>
    <w:rsid w:val="00F861B0"/>
    <w:rsid w:val="00F86CE0"/>
    <w:rsid w:val="00F92333"/>
    <w:rsid w:val="00F94FED"/>
    <w:rsid w:val="00FA1A84"/>
    <w:rsid w:val="00FA46C6"/>
    <w:rsid w:val="00FB2470"/>
    <w:rsid w:val="00FC135E"/>
    <w:rsid w:val="00FC33D1"/>
    <w:rsid w:val="00FE102B"/>
    <w:rsid w:val="00FF2F40"/>
    <w:rsid w:val="00FF30A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32E5F5"/>
  <w15:docId w15:val="{0D14988B-F69E-41E7-97ED-4C5E6F1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60CB-9094-486E-911D-F51B39C4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2617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18283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Bartosz Mądry</cp:lastModifiedBy>
  <cp:revision>2</cp:revision>
  <cp:lastPrinted>2021-10-06T06:29:00Z</cp:lastPrinted>
  <dcterms:created xsi:type="dcterms:W3CDTF">2024-04-19T08:35:00Z</dcterms:created>
  <dcterms:modified xsi:type="dcterms:W3CDTF">2024-04-19T08:35:00Z</dcterms:modified>
</cp:coreProperties>
</file>